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Cs/>
          <w:iCs/>
          <w:color w:val="000000"/>
          <w:sz w:val="28"/>
          <w:szCs w:val="28"/>
        </w:rPr>
      </w:pPr>
      <w:r>
        <w:rPr>
          <w:rFonts w:ascii="Times New Roman" w:hAnsi="Times New Roman" w:cs="Times New Roman"/>
          <w:bCs/>
          <w:iCs/>
          <w:color w:val="000000"/>
          <w:sz w:val="28"/>
          <w:szCs w:val="28"/>
        </w:rPr>
        <w:t>ANEXO II</w:t>
      </w:r>
    </w:p>
    <w:p>
      <w:pPr>
        <w:jc w:val="center"/>
        <w:rPr>
          <w:rFonts w:ascii="Times New Roman" w:hAnsi="Times New Roman" w:cs="Times New Roman"/>
          <w:b/>
          <w:bCs/>
          <w:iCs/>
          <w:color w:val="000000"/>
          <w:szCs w:val="28"/>
        </w:rPr>
      </w:pPr>
    </w:p>
    <w:p>
      <w:pPr>
        <w:ind w:right="-1"/>
        <w:jc w:val="center"/>
        <w:rPr>
          <w:rFonts w:ascii="Times New Roman" w:hAnsi="Times New Roman" w:cs="Times New Roman"/>
          <w:b/>
          <w:bCs/>
          <w:color w:val="000000"/>
          <w:sz w:val="20"/>
          <w:szCs w:val="20"/>
        </w:rPr>
      </w:pPr>
      <w:r>
        <w:rPr>
          <w:rFonts w:ascii="Times New Roman" w:hAnsi="Times New Roman" w:cs="Times New Roman"/>
          <w:sz w:val="20"/>
          <w:szCs w:val="20"/>
        </w:rPr>
        <w:object>
          <v:shape id="_x0000_i1025" o:spt="75" type="#_x0000_t75" style="height:55.5pt;width:48.75pt;" o:ole="t" filled="t" o:preferrelative="t" stroked="f" coordsize="21600,21600">
            <v:path/>
            <v:fill type="frame" on="t" color2="#000000" focussize="0,0"/>
            <v:stroke on="f" joinstyle="miter"/>
            <v:imagedata r:id="rId7" o:title=""/>
            <o:lock v:ext="edit" aspectratio="t"/>
            <w10:wrap type="none"/>
            <w10:anchorlock/>
          </v:shape>
          <o:OLEObject Type="Embed" ProgID="PBrush" ShapeID="_x0000_i1025" DrawAspect="Content" ObjectID="_1468075725" r:id="rId6">
            <o:LockedField>false</o:LockedField>
          </o:OLEObject>
        </w:object>
      </w:r>
    </w:p>
    <w:p>
      <w:pPr>
        <w:spacing w:line="276" w:lineRule="auto"/>
        <w:jc w:val="center"/>
        <w:rPr>
          <w:rFonts w:ascii="Times New Roman" w:hAnsi="Times New Roman" w:cs="Times New Roman"/>
          <w:sz w:val="20"/>
          <w:szCs w:val="20"/>
        </w:rPr>
      </w:pPr>
      <w:r>
        <w:rPr>
          <w:rFonts w:ascii="Times New Roman" w:hAnsi="Times New Roman" w:cs="Times New Roman"/>
          <w:b/>
          <w:bCs/>
          <w:color w:val="000000"/>
          <w:sz w:val="20"/>
          <w:szCs w:val="20"/>
        </w:rPr>
        <w:t>MINISTÉRIO DA DEFESA</w:t>
      </w:r>
    </w:p>
    <w:p>
      <w:pPr>
        <w:spacing w:line="276" w:lineRule="auto"/>
        <w:jc w:val="center"/>
        <w:rPr>
          <w:rFonts w:ascii="Times New Roman" w:hAnsi="Times New Roman" w:cs="Times New Roman"/>
          <w:sz w:val="20"/>
          <w:szCs w:val="20"/>
        </w:rPr>
      </w:pPr>
      <w:r>
        <w:rPr>
          <w:rFonts w:ascii="Times New Roman" w:hAnsi="Times New Roman" w:cs="Times New Roman"/>
          <w:b/>
          <w:bCs/>
          <w:color w:val="000000"/>
          <w:sz w:val="20"/>
          <w:szCs w:val="20"/>
        </w:rPr>
        <w:t>EXÉRCITO BRASILEIRO</w:t>
      </w:r>
    </w:p>
    <w:p>
      <w:pPr>
        <w:spacing w:line="276" w:lineRule="auto"/>
        <w:jc w:val="center"/>
        <w:rPr>
          <w:rFonts w:ascii="Times New Roman" w:hAnsi="Times New Roman" w:cs="Times New Roman"/>
          <w:sz w:val="20"/>
          <w:szCs w:val="20"/>
        </w:rPr>
      </w:pPr>
      <w:r>
        <w:rPr>
          <w:rFonts w:ascii="Times New Roman" w:hAnsi="Times New Roman" w:cs="Times New Roman"/>
          <w:b/>
          <w:bCs/>
          <w:color w:val="000000"/>
          <w:sz w:val="20"/>
          <w:szCs w:val="20"/>
        </w:rPr>
        <w:t>9° BATALHÃO LOGÍSTICO</w:t>
      </w:r>
    </w:p>
    <w:p>
      <w:pPr>
        <w:ind w:right="-17"/>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w:t>
      </w:r>
      <w:r>
        <w:rPr>
          <w:rFonts w:ascii="Times New Roman" w:hAnsi="Times New Roman" w:cs="Times New Roman"/>
          <w:b/>
          <w:bCs/>
          <w:color w:val="000000"/>
          <w:sz w:val="20"/>
          <w:szCs w:val="20"/>
        </w:rPr>
        <w:t>BATALHÃO CIDADE DE SANTIAGO”</w:t>
      </w:r>
    </w:p>
    <w:p>
      <w:pPr>
        <w:jc w:val="center"/>
        <w:rPr>
          <w:rFonts w:ascii="Arial" w:hAnsi="Arial" w:cs="Arial"/>
          <w:sz w:val="20"/>
          <w:szCs w:val="20"/>
        </w:rPr>
      </w:pPr>
    </w:p>
    <w:p>
      <w:pPr>
        <w:jc w:val="center"/>
        <w:rPr>
          <w:rFonts w:ascii="Arial" w:hAnsi="Arial" w:cs="Arial"/>
          <w:bCs/>
          <w:sz w:val="20"/>
          <w:szCs w:val="20"/>
        </w:rPr>
      </w:pPr>
      <w:r>
        <w:rPr>
          <w:rFonts w:ascii="Times New Roman" w:hAnsi="Times New Roman" w:cs="Times New Roman"/>
          <w:b/>
          <w:bCs/>
          <w:iCs/>
          <w:color w:val="000000"/>
        </w:rPr>
        <w:t xml:space="preserve">ATA DE REGISTRO DE PREÇOS Nº </w:t>
      </w:r>
    </w:p>
    <w:p>
      <w:pPr>
        <w:widowControl w:val="0"/>
        <w:autoSpaceDE w:val="0"/>
        <w:autoSpaceDN w:val="0"/>
        <w:adjustRightInd w:val="0"/>
        <w:ind w:right="-30"/>
        <w:jc w:val="both"/>
        <w:rPr>
          <w:rFonts w:ascii="Arial" w:hAnsi="Arial" w:cs="Arial"/>
          <w:sz w:val="20"/>
          <w:szCs w:val="20"/>
        </w:rPr>
      </w:pPr>
    </w:p>
    <w:p>
      <w:pPr>
        <w:widowControl w:val="0"/>
        <w:tabs>
          <w:tab w:val="center" w:pos="4779"/>
          <w:tab w:val="right" w:pos="9198"/>
        </w:tabs>
        <w:autoSpaceDE w:val="0"/>
        <w:autoSpaceDN w:val="0"/>
        <w:adjustRightInd w:val="0"/>
        <w:ind w:right="-28"/>
        <w:jc w:val="both"/>
        <w:rPr>
          <w:rFonts w:ascii="Times New Roman" w:hAnsi="Times New Roman" w:cs="Times New Roman"/>
        </w:rPr>
      </w:pPr>
      <w:r>
        <w:rPr>
          <w:rFonts w:ascii="Times New Roman" w:hAnsi="Times New Roman" w:cs="Times New Roman"/>
        </w:rPr>
        <w:t>O 9º Batalhão Logístico com sede na Av. Aparício Mariense, Nº 345, Bairro Vila Nova, CEP 97.700-000 na cidade de Santiago-RS</w:t>
      </w:r>
      <w:r>
        <w:rPr>
          <w:rFonts w:ascii="Times New Roman" w:hAnsi="Times New Roman" w:cs="Times New Roman"/>
          <w:color w:val="000000"/>
        </w:rPr>
        <w:t>,</w:t>
      </w:r>
      <w:r>
        <w:rPr>
          <w:rFonts w:ascii="Times New Roman" w:hAnsi="Times New Roman" w:cs="Times New Roman"/>
        </w:rPr>
        <w:t xml:space="preserve"> inscrito(a) no CNPJ/MF sob o nº 09.649.272/0001-91, neste ato representado pelo Tenente Coronel Rogério Martins Moura, nomeado pela  Portaria nº 791 de 29 de maio de 2018, publicada no Bole</w:t>
      </w:r>
      <w:bookmarkStart w:id="0" w:name="_GoBack"/>
      <w:bookmarkEnd w:id="0"/>
      <w:r>
        <w:rPr>
          <w:rFonts w:ascii="Times New Roman" w:hAnsi="Times New Roman" w:cs="Times New Roman"/>
        </w:rPr>
        <w:t xml:space="preserve">tim Especial 01 de 17 de janeiro de 2019, inscrito no CPF sob o nº 168.621.678-55 portador da Carteira de Identidade nº 0111042040, considerando o julgamento da licitação na modalidade de pregão, na forma </w:t>
      </w:r>
      <w:r>
        <w:rPr>
          <w:rFonts w:ascii="Times New Roman" w:hAnsi="Times New Roman" w:cs="Times New Roman"/>
          <w:iCs/>
        </w:rPr>
        <w:t>elet</w:t>
      </w:r>
      <w:r>
        <w:rPr>
          <w:rFonts w:ascii="Times New Roman" w:hAnsi="Times New Roman" w:cs="Times New Roman"/>
          <w:iCs/>
          <w:highlight w:val="none"/>
        </w:rPr>
        <w:t>rônica</w:t>
      </w:r>
      <w:r>
        <w:rPr>
          <w:rFonts w:ascii="Times New Roman" w:hAnsi="Times New Roman" w:cs="Times New Roman"/>
          <w:highlight w:val="none"/>
        </w:rPr>
        <w:t xml:space="preserve">, para REGISTRO DE PREÇOS nº 03/2020, publicada Boletim Interno nº </w:t>
      </w:r>
      <w:r>
        <w:rPr>
          <w:rFonts w:hint="default" w:ascii="Times New Roman" w:hAnsi="Times New Roman" w:cs="Times New Roman"/>
          <w:highlight w:val="none"/>
          <w:lang w:val="pt-PT"/>
        </w:rPr>
        <w:t>054</w:t>
      </w:r>
      <w:r>
        <w:rPr>
          <w:rFonts w:ascii="Times New Roman" w:hAnsi="Times New Roman" w:cs="Times New Roman"/>
          <w:highlight w:val="none"/>
        </w:rPr>
        <w:t xml:space="preserve"> de </w:t>
      </w:r>
      <w:r>
        <w:rPr>
          <w:rFonts w:hint="default" w:ascii="Times New Roman" w:hAnsi="Times New Roman" w:cs="Times New Roman"/>
          <w:highlight w:val="none"/>
          <w:lang w:val="pt-PT"/>
        </w:rPr>
        <w:t>20</w:t>
      </w:r>
      <w:r>
        <w:rPr>
          <w:rFonts w:ascii="Times New Roman" w:hAnsi="Times New Roman" w:cs="Times New Roman"/>
          <w:highlight w:val="none"/>
        </w:rPr>
        <w:t>/</w:t>
      </w:r>
      <w:r>
        <w:rPr>
          <w:rFonts w:hint="default" w:ascii="Times New Roman" w:hAnsi="Times New Roman" w:cs="Times New Roman"/>
          <w:highlight w:val="none"/>
          <w:lang w:val="pt-PT"/>
        </w:rPr>
        <w:t>03</w:t>
      </w:r>
      <w:r>
        <w:rPr>
          <w:rFonts w:ascii="Times New Roman" w:hAnsi="Times New Roman" w:cs="Times New Roman"/>
          <w:highlight w:val="none"/>
        </w:rPr>
        <w:t>/20</w:t>
      </w:r>
      <w:r>
        <w:rPr>
          <w:rFonts w:hint="default" w:ascii="Times New Roman" w:hAnsi="Times New Roman" w:cs="Times New Roman"/>
          <w:highlight w:val="none"/>
          <w:lang w:val="pt-PT"/>
        </w:rPr>
        <w:t>20</w:t>
      </w:r>
      <w:r>
        <w:rPr>
          <w:rFonts w:ascii="Times New Roman" w:hAnsi="Times New Roman" w:cs="Times New Roman"/>
          <w:highlight w:val="none"/>
        </w:rPr>
        <w:t xml:space="preserve">, processo administrativo n.º </w:t>
      </w:r>
      <w:r>
        <w:rPr>
          <w:rFonts w:ascii="Times New Roman" w:hAnsi="Times New Roman" w:cs="Times New Roman"/>
          <w:bCs/>
          <w:color w:val="000000"/>
          <w:highlight w:val="none"/>
        </w:rPr>
        <w:t>64130.001158/2020-56</w:t>
      </w:r>
      <w:r>
        <w:rPr>
          <w:rFonts w:ascii="Times New Roman" w:hAnsi="Times New Roman" w:cs="Times New Roman"/>
          <w:highlight w:val="none"/>
        </w:rPr>
        <w:t>, RESOLVE registrar os pre</w:t>
      </w:r>
      <w:r>
        <w:rPr>
          <w:rFonts w:ascii="Times New Roman" w:hAnsi="Times New Roman" w:cs="Times New Roman"/>
        </w:rPr>
        <w:t xml:space="preserv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ascii="Times New Roman" w:hAnsi="Times New Roman" w:cs="Times New Roman"/>
          <w:iCs/>
        </w:rPr>
        <w:t>Decreto n.º 7.892, de 23 de janeiro de 2013,</w:t>
      </w:r>
      <w:r>
        <w:rPr>
          <w:rFonts w:ascii="Times New Roman" w:hAnsi="Times New Roman" w:cs="Times New Roman"/>
        </w:rPr>
        <w:t xml:space="preserve"> e em conformidade com as disposições a seguir:</w:t>
      </w:r>
    </w:p>
    <w:p>
      <w:pPr>
        <w:widowControl w:val="0"/>
        <w:tabs>
          <w:tab w:val="center" w:pos="4779"/>
          <w:tab w:val="right" w:pos="9198"/>
        </w:tabs>
        <w:autoSpaceDE w:val="0"/>
        <w:autoSpaceDN w:val="0"/>
        <w:adjustRightInd w:val="0"/>
        <w:ind w:right="-28"/>
        <w:jc w:val="both"/>
        <w:rPr>
          <w:rFonts w:ascii="Times New Roman" w:hAnsi="Times New Roman" w:cs="Times New Roman"/>
        </w:rPr>
      </w:pPr>
    </w:p>
    <w:p>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rPr>
      </w:pPr>
      <w:r>
        <w:rPr>
          <w:rFonts w:ascii="Times New Roman" w:hAnsi="Times New Roman" w:cs="Times New Roman"/>
          <w:b/>
          <w:bCs/>
        </w:rPr>
        <w:t>DO OBJETO</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A presente Ata tem por objeto o registro de preços para a eventual aquisição peças  para manutenção de viaturas blindadas, especificado(s) no(s) item 1.1 do Termo de Referência, anexo I do edital de Pregão nº 03/2020 que é parte integrante desta Ata, assim como a proposta vencedora, independentemente de transcrição.</w:t>
      </w:r>
    </w:p>
    <w:p>
      <w:pPr>
        <w:widowControl w:val="0"/>
        <w:autoSpaceDE w:val="0"/>
        <w:autoSpaceDN w:val="0"/>
        <w:adjustRightInd w:val="0"/>
        <w:ind w:left="792"/>
        <w:jc w:val="both"/>
        <w:rPr>
          <w:rFonts w:ascii="Times New Roman" w:hAnsi="Times New Roman" w:cs="Times New Roman"/>
        </w:rPr>
      </w:pPr>
    </w:p>
    <w:p>
      <w:pPr>
        <w:numPr>
          <w:ilvl w:val="0"/>
          <w:numId w:val="1"/>
        </w:numPr>
        <w:autoSpaceDE w:val="0"/>
        <w:autoSpaceDN w:val="0"/>
        <w:adjustRightInd w:val="0"/>
        <w:spacing w:before="120" w:after="120" w:line="276" w:lineRule="auto"/>
        <w:ind w:left="0" w:firstLine="0"/>
        <w:jc w:val="both"/>
        <w:rPr>
          <w:rFonts w:ascii="Times New Roman" w:hAnsi="Times New Roman" w:cs="Times New Roman"/>
          <w:b/>
        </w:rPr>
      </w:pPr>
      <w:r>
        <w:rPr>
          <w:rFonts w:ascii="Times New Roman" w:hAnsi="Times New Roman" w:cs="Times New Roman"/>
          <w:b/>
          <w:bCs/>
        </w:rPr>
        <w:t>DOS PREÇOS, ESPECIFICAÇÕES E QUANTITATIVOS</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 xml:space="preserve">O preço registrado, as especificações do objeto, a quantidade, fornecedor(es) e as demais condições ofertadas na(s) proposta(s) são as que seguem: </w:t>
      </w:r>
    </w:p>
    <w:tbl>
      <w:tblPr>
        <w:tblStyle w:val="4"/>
        <w:tblW w:w="9214" w:type="dxa"/>
        <w:tblInd w:w="10" w:type="dxa"/>
        <w:tblLayout w:type="fixed"/>
        <w:tblCellMar>
          <w:top w:w="0" w:type="dxa"/>
          <w:left w:w="10" w:type="dxa"/>
          <w:bottom w:w="0" w:type="dxa"/>
          <w:right w:w="10" w:type="dxa"/>
        </w:tblCellMar>
      </w:tblPr>
      <w:tblGrid>
        <w:gridCol w:w="851"/>
        <w:gridCol w:w="3544"/>
        <w:gridCol w:w="708"/>
        <w:gridCol w:w="993"/>
        <w:gridCol w:w="1559"/>
        <w:gridCol w:w="1559"/>
      </w:tblGrid>
      <w:tr>
        <w:tblPrEx>
          <w:tblLayout w:type="fixed"/>
        </w:tblPrEx>
        <w:trPr>
          <w:trHeight w:val="328" w:hRule="atLeast"/>
        </w:trPr>
        <w:tc>
          <w:tcPr>
            <w:tcW w:w="9214" w:type="dxa"/>
            <w:gridSpan w:val="6"/>
            <w:tcBorders>
              <w:top w:val="single" w:color="000000" w:sz="2" w:space="0"/>
              <w:left w:val="single" w:color="000000" w:sz="2" w:space="0"/>
              <w:bottom w:val="single" w:color="000000" w:sz="2" w:space="0"/>
              <w:right w:val="single" w:color="000000" w:sz="2" w:space="0"/>
            </w:tcBorders>
            <w:vAlign w:val="center"/>
          </w:tcPr>
          <w:p>
            <w:pPr>
              <w:widowControl w:val="0"/>
              <w:autoSpaceDE w:val="0"/>
              <w:autoSpaceDN w:val="0"/>
              <w:adjustRightInd w:val="0"/>
              <w:ind w:right="-30"/>
              <w:jc w:val="center"/>
              <w:rPr>
                <w:rFonts w:ascii="Times New Roman" w:hAnsi="Times New Roman" w:cs="Times New Roman"/>
              </w:rPr>
            </w:pPr>
            <w:r>
              <w:rPr>
                <w:rFonts w:ascii="Times New Roman" w:hAnsi="Times New Roman" w:cs="Times New Roman"/>
              </w:rPr>
              <w:t xml:space="preserve">Fornecedor </w:t>
            </w:r>
            <w:r>
              <w:rPr>
                <w:rFonts w:ascii="Times New Roman" w:hAnsi="Times New Roman" w:cs="Times New Roman"/>
                <w:i/>
              </w:rPr>
              <w:t>(razão social, CNPJ/MF, endereço, contatos, representante)</w:t>
            </w:r>
          </w:p>
        </w:tc>
      </w:tr>
      <w:tr>
        <w:tblPrEx>
          <w:tblLayout w:type="fixed"/>
          <w:tblCellMar>
            <w:top w:w="0" w:type="dxa"/>
            <w:left w:w="10" w:type="dxa"/>
            <w:bottom w:w="0" w:type="dxa"/>
            <w:right w:w="10" w:type="dxa"/>
          </w:tblCellMar>
        </w:tblPrEx>
        <w:trPr>
          <w:trHeight w:val="431" w:hRule="atLeast"/>
        </w:trPr>
        <w:tc>
          <w:tcPr>
            <w:tcW w:w="851" w:type="dxa"/>
            <w:tcBorders>
              <w:top w:val="nil"/>
              <w:left w:val="single" w:color="000000" w:sz="2" w:space="0"/>
              <w:bottom w:val="single" w:color="auto" w:sz="4" w:space="0"/>
              <w:right w:val="nil"/>
            </w:tcBorders>
            <w:vAlign w:val="center"/>
          </w:tcPr>
          <w:p>
            <w:pPr>
              <w:widowControl w:val="0"/>
              <w:autoSpaceDE w:val="0"/>
              <w:autoSpaceDN w:val="0"/>
              <w:adjustRightInd w:val="0"/>
              <w:ind w:right="-30"/>
              <w:jc w:val="center"/>
              <w:rPr>
                <w:rFonts w:ascii="Times New Roman" w:hAnsi="Times New Roman" w:cs="Times New Roman"/>
                <w:b/>
              </w:rPr>
            </w:pPr>
            <w:r>
              <w:rPr>
                <w:rFonts w:ascii="Times New Roman" w:hAnsi="Times New Roman" w:cs="Times New Roman"/>
                <w:b/>
              </w:rPr>
              <w:t>Item</w:t>
            </w:r>
          </w:p>
        </w:tc>
        <w:tc>
          <w:tcPr>
            <w:tcW w:w="3544" w:type="dxa"/>
            <w:tcBorders>
              <w:top w:val="nil"/>
              <w:left w:val="single" w:color="000000" w:sz="2" w:space="0"/>
              <w:bottom w:val="single" w:color="auto" w:sz="4" w:space="0"/>
              <w:right w:val="nil"/>
            </w:tcBorders>
            <w:vAlign w:val="center"/>
          </w:tcPr>
          <w:p>
            <w:pPr>
              <w:widowControl w:val="0"/>
              <w:autoSpaceDE w:val="0"/>
              <w:autoSpaceDN w:val="0"/>
              <w:adjustRightInd w:val="0"/>
              <w:ind w:right="-30"/>
              <w:jc w:val="center"/>
              <w:rPr>
                <w:rFonts w:ascii="Times New Roman" w:hAnsi="Times New Roman" w:cs="Times New Roman"/>
                <w:b/>
              </w:rPr>
            </w:pPr>
            <w:r>
              <w:rPr>
                <w:rFonts w:ascii="Times New Roman" w:hAnsi="Times New Roman" w:cs="Times New Roman"/>
                <w:b/>
              </w:rPr>
              <w:t>Descrição/Especificação</w:t>
            </w:r>
          </w:p>
        </w:tc>
        <w:tc>
          <w:tcPr>
            <w:tcW w:w="708" w:type="dxa"/>
            <w:tcBorders>
              <w:top w:val="nil"/>
              <w:left w:val="single" w:color="000000" w:sz="2" w:space="0"/>
              <w:bottom w:val="single" w:color="auto" w:sz="4" w:space="0"/>
              <w:right w:val="nil"/>
            </w:tcBorders>
            <w:vAlign w:val="center"/>
          </w:tcPr>
          <w:p>
            <w:pPr>
              <w:widowControl w:val="0"/>
              <w:autoSpaceDE w:val="0"/>
              <w:autoSpaceDN w:val="0"/>
              <w:adjustRightInd w:val="0"/>
              <w:ind w:right="-30"/>
              <w:jc w:val="center"/>
              <w:rPr>
                <w:rFonts w:ascii="Times New Roman" w:hAnsi="Times New Roman" w:cs="Times New Roman"/>
                <w:b/>
                <w:i/>
                <w:iCs/>
              </w:rPr>
            </w:pPr>
            <w:r>
              <w:rPr>
                <w:rFonts w:ascii="Times New Roman" w:hAnsi="Times New Roman" w:cs="Times New Roman"/>
                <w:b/>
              </w:rPr>
              <w:t>UF</w:t>
            </w:r>
          </w:p>
        </w:tc>
        <w:tc>
          <w:tcPr>
            <w:tcW w:w="993" w:type="dxa"/>
            <w:tcBorders>
              <w:top w:val="nil"/>
              <w:left w:val="single" w:color="000000" w:sz="2" w:space="0"/>
              <w:bottom w:val="single" w:color="auto" w:sz="4" w:space="0"/>
              <w:right w:val="nil"/>
            </w:tcBorders>
            <w:vAlign w:val="center"/>
          </w:tcPr>
          <w:p>
            <w:pPr>
              <w:widowControl w:val="0"/>
              <w:autoSpaceDE w:val="0"/>
              <w:autoSpaceDN w:val="0"/>
              <w:adjustRightInd w:val="0"/>
              <w:ind w:right="-30"/>
              <w:jc w:val="center"/>
              <w:rPr>
                <w:rFonts w:ascii="Times New Roman" w:hAnsi="Times New Roman" w:cs="Times New Roman"/>
                <w:b/>
              </w:rPr>
            </w:pPr>
            <w:r>
              <w:rPr>
                <w:rFonts w:ascii="Times New Roman" w:hAnsi="Times New Roman" w:cs="Times New Roman"/>
                <w:b/>
              </w:rPr>
              <w:t>Quant.</w:t>
            </w:r>
          </w:p>
        </w:tc>
        <w:tc>
          <w:tcPr>
            <w:tcW w:w="1559" w:type="dxa"/>
            <w:tcBorders>
              <w:top w:val="nil"/>
              <w:left w:val="single" w:color="000000" w:sz="2" w:space="0"/>
              <w:bottom w:val="single" w:color="auto" w:sz="4" w:space="0"/>
              <w:right w:val="nil"/>
            </w:tcBorders>
            <w:vAlign w:val="center"/>
          </w:tcPr>
          <w:p>
            <w:pPr>
              <w:widowControl w:val="0"/>
              <w:autoSpaceDE w:val="0"/>
              <w:autoSpaceDN w:val="0"/>
              <w:adjustRightInd w:val="0"/>
              <w:ind w:right="-30"/>
              <w:jc w:val="center"/>
              <w:rPr>
                <w:rFonts w:ascii="Times New Roman" w:hAnsi="Times New Roman" w:cs="Times New Roman"/>
                <w:b/>
              </w:rPr>
            </w:pPr>
            <w:r>
              <w:rPr>
                <w:rFonts w:ascii="Times New Roman" w:hAnsi="Times New Roman" w:cs="Times New Roman"/>
                <w:b/>
              </w:rPr>
              <w:t>Valor Unt</w:t>
            </w:r>
          </w:p>
        </w:tc>
        <w:tc>
          <w:tcPr>
            <w:tcW w:w="1559" w:type="dxa"/>
            <w:tcBorders>
              <w:top w:val="nil"/>
              <w:left w:val="single" w:color="000000" w:sz="2" w:space="0"/>
              <w:bottom w:val="single" w:color="auto" w:sz="4" w:space="0"/>
              <w:right w:val="single" w:color="000000" w:sz="2" w:space="0"/>
            </w:tcBorders>
            <w:vAlign w:val="center"/>
          </w:tcPr>
          <w:p>
            <w:pPr>
              <w:widowControl w:val="0"/>
              <w:autoSpaceDE w:val="0"/>
              <w:autoSpaceDN w:val="0"/>
              <w:adjustRightInd w:val="0"/>
              <w:ind w:right="-30"/>
              <w:jc w:val="center"/>
              <w:rPr>
                <w:rFonts w:ascii="Times New Roman" w:hAnsi="Times New Roman" w:cs="Times New Roman"/>
                <w:b/>
              </w:rPr>
            </w:pPr>
            <w:r>
              <w:rPr>
                <w:rFonts w:ascii="Times New Roman" w:hAnsi="Times New Roman" w:cs="Times New Roman"/>
                <w:b/>
              </w:rPr>
              <w:t>Valor Total</w:t>
            </w:r>
          </w:p>
        </w:tc>
      </w:tr>
      <w:tr>
        <w:tblPrEx>
          <w:tblLayout w:type="fixed"/>
          <w:tblCellMar>
            <w:top w:w="0" w:type="dxa"/>
            <w:left w:w="10" w:type="dxa"/>
            <w:bottom w:w="0" w:type="dxa"/>
            <w:right w:w="10" w:type="dxa"/>
          </w:tblCellMar>
        </w:tblPrEx>
        <w:trPr>
          <w:trHeight w:val="174" w:hRule="atLeast"/>
        </w:trPr>
        <w:tc>
          <w:tcPr>
            <w:tcW w:w="85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c>
          <w:tcPr>
            <w:tcW w:w="354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c>
          <w:tcPr>
            <w:tcW w:w="70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c>
          <w:tcPr>
            <w:tcW w:w="99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c>
          <w:tcPr>
            <w:tcW w:w="155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c>
          <w:tcPr>
            <w:tcW w:w="155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r>
      <w:tr>
        <w:tblPrEx>
          <w:tblLayout w:type="fixed"/>
          <w:tblCellMar>
            <w:top w:w="0" w:type="dxa"/>
            <w:left w:w="10" w:type="dxa"/>
            <w:bottom w:w="0" w:type="dxa"/>
            <w:right w:w="10" w:type="dxa"/>
          </w:tblCellMar>
        </w:tblPrEx>
        <w:trPr>
          <w:trHeight w:val="174" w:hRule="atLeast"/>
        </w:trPr>
        <w:tc>
          <w:tcPr>
            <w:tcW w:w="9214" w:type="dxa"/>
            <w:gridSpan w:val="6"/>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ind w:right="-30"/>
              <w:jc w:val="both"/>
              <w:rPr>
                <w:rFonts w:ascii="Times New Roman" w:hAnsi="Times New Roman" w:cs="Times New Roman"/>
              </w:rPr>
            </w:pPr>
          </w:p>
        </w:tc>
      </w:tr>
    </w:tbl>
    <w:p>
      <w:pPr>
        <w:widowControl w:val="0"/>
        <w:autoSpaceDE w:val="0"/>
        <w:autoSpaceDN w:val="0"/>
        <w:adjustRightInd w:val="0"/>
        <w:ind w:right="-30"/>
        <w:jc w:val="both"/>
        <w:rPr>
          <w:rFonts w:ascii="Times New Roman" w:hAnsi="Times New Roman" w:cs="Times New Roman"/>
          <w:i/>
          <w:iCs/>
        </w:rPr>
      </w:pPr>
    </w:p>
    <w:p>
      <w:pPr>
        <w:widowControl w:val="0"/>
        <w:numPr>
          <w:ilvl w:val="0"/>
          <w:numId w:val="1"/>
        </w:numPr>
        <w:autoSpaceDE w:val="0"/>
        <w:autoSpaceDN w:val="0"/>
        <w:adjustRightInd w:val="0"/>
        <w:spacing w:before="240"/>
        <w:jc w:val="both"/>
        <w:rPr>
          <w:rFonts w:ascii="Times New Roman" w:hAnsi="Times New Roman" w:cs="Times New Roman"/>
          <w:b/>
        </w:rPr>
      </w:pPr>
      <w:r>
        <w:rPr>
          <w:rFonts w:ascii="Times New Roman" w:hAnsi="Times New Roman" w:cs="Times New Roman"/>
          <w:b/>
          <w:bCs/>
          <w:iCs/>
        </w:rPr>
        <w:t>ÓRGÃO(S) GERENCIADOR E PARTICIPANTE(S)</w:t>
      </w:r>
    </w:p>
    <w:p>
      <w:pPr>
        <w:numPr>
          <w:ilvl w:val="1"/>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O órgão gerenciador será o 9°Batalhão Logístico</w:t>
      </w:r>
    </w:p>
    <w:p>
      <w:pPr>
        <w:numPr>
          <w:ilvl w:val="0"/>
          <w:numId w:val="1"/>
        </w:numPr>
        <w:spacing w:before="120" w:after="120" w:line="276" w:lineRule="auto"/>
        <w:ind w:left="1418"/>
        <w:jc w:val="both"/>
        <w:rPr>
          <w:rFonts w:ascii="Times New Roman" w:hAnsi="Times New Roman" w:cs="Times New Roman"/>
          <w:b/>
        </w:rPr>
      </w:pPr>
      <w:r>
        <w:rPr>
          <w:rFonts w:ascii="Times New Roman" w:hAnsi="Times New Roman" w:cs="Times New Roman"/>
          <w:b/>
          <w:lang w:eastAsia="en-US"/>
        </w:rPr>
        <w:t>DA ADESÃO À ATA DE REGISTRO DE PREÇOS</w:t>
      </w:r>
    </w:p>
    <w:p>
      <w:pPr>
        <w:numPr>
          <w:ilvl w:val="1"/>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numPr>
          <w:ilvl w:val="2"/>
          <w:numId w:val="1"/>
        </w:numPr>
        <w:spacing w:before="120" w:after="120" w:line="276" w:lineRule="auto"/>
        <w:ind w:left="1418" w:firstLine="0"/>
        <w:jc w:val="both"/>
        <w:rPr>
          <w:rFonts w:ascii="Times New Roman" w:hAnsi="Times New Roman" w:cs="Times New Roman"/>
        </w:rPr>
      </w:pPr>
      <w:r>
        <w:rPr>
          <w:rFonts w:ascii="Times New Roman" w:hAnsi="Times New Roman" w:cs="Times New Roman"/>
        </w:rPr>
        <w:t>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pPr>
        <w:numPr>
          <w:ilvl w:val="1"/>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pPr>
        <w:numPr>
          <w:ilvl w:val="1"/>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pPr>
        <w:numPr>
          <w:ilvl w:val="2"/>
          <w:numId w:val="1"/>
        </w:numPr>
        <w:spacing w:before="120" w:after="120" w:line="276" w:lineRule="auto"/>
        <w:ind w:left="1418" w:firstLine="0"/>
        <w:jc w:val="both"/>
        <w:rPr>
          <w:rFonts w:ascii="Times New Roman" w:hAnsi="Times New Roman" w:cs="Times New Roman"/>
        </w:rPr>
      </w:pPr>
      <w:r>
        <w:rPr>
          <w:rFonts w:ascii="Times New Roman" w:hAnsi="Times New Roman" w:cs="Times New Roman"/>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pPr>
        <w:numPr>
          <w:ilvl w:val="1"/>
          <w:numId w:val="1"/>
        </w:numPr>
        <w:spacing w:before="120" w:after="120" w:line="276" w:lineRule="auto"/>
        <w:ind w:left="426" w:firstLine="0"/>
        <w:jc w:val="both"/>
        <w:rPr>
          <w:rFonts w:ascii="Times New Roman" w:hAnsi="Times New Roman" w:cs="Times New Roman"/>
        </w:rPr>
      </w:pPr>
      <w:r>
        <w:rPr>
          <w:rFonts w:ascii="Times New Roman" w:hAnsi="Times New Roman"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1"/>
        </w:numPr>
        <w:spacing w:before="120" w:after="120" w:line="276" w:lineRule="auto"/>
        <w:ind w:left="426" w:firstLine="0"/>
        <w:jc w:val="both"/>
        <w:rPr>
          <w:rFonts w:ascii="Times New Roman" w:hAnsi="Times New Roman" w:cs="Times New Roman"/>
        </w:rPr>
      </w:pPr>
      <w:r>
        <w:rPr>
          <w:rFonts w:ascii="Times New Roman" w:hAnsi="Times New Roman" w:cs="Times New Roman"/>
        </w:rPr>
        <w:t>Após a autorização do órgão gerenciador, o órgão não participante deverá efetivar a contratação solicitada em até noventa dias, observado o prazo de validade da Ata de Registro de Preços.</w:t>
      </w:r>
    </w:p>
    <w:p>
      <w:pPr>
        <w:numPr>
          <w:ilvl w:val="2"/>
          <w:numId w:val="1"/>
        </w:numPr>
        <w:spacing w:before="120" w:after="120" w:line="276" w:lineRule="auto"/>
        <w:ind w:left="851" w:firstLine="0"/>
        <w:jc w:val="both"/>
        <w:rPr>
          <w:rFonts w:ascii="Times New Roman" w:hAnsi="Times New Roman" w:cs="Times New Roman"/>
        </w:rPr>
      </w:pPr>
      <w:r>
        <w:rPr>
          <w:rFonts w:ascii="Times New Roman" w:hAnsi="Times New Roman" w:cs="Times New Roman"/>
        </w:rPr>
        <w:t>Caberá ao órgão gerenciador autorizar, excepcional e justificadamente, a prorrogação do prazo para efetivação da contratação, respeitado o prazo de vigência da ata, desde que solicitada pelo órgão não participante.</w:t>
      </w:r>
    </w:p>
    <w:p>
      <w:pPr>
        <w:pStyle w:val="20"/>
        <w:numPr>
          <w:ilvl w:val="0"/>
          <w:numId w:val="1"/>
        </w:numPr>
        <w:spacing w:before="240"/>
        <w:ind w:left="357" w:hanging="357"/>
        <w:rPr>
          <w:rFonts w:ascii="Times New Roman" w:hAnsi="Times New Roman" w:cs="Times New Roman"/>
          <w:iCs/>
          <w:sz w:val="24"/>
          <w:szCs w:val="24"/>
        </w:rPr>
      </w:pPr>
      <w:r>
        <w:rPr>
          <w:rFonts w:ascii="Times New Roman" w:hAnsi="Times New Roman" w:cs="Times New Roman"/>
          <w:sz w:val="24"/>
          <w:szCs w:val="24"/>
        </w:rPr>
        <w:t>VALIDADE DA ATA</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Pr>
          <w:rFonts w:ascii="Times New Roman" w:hAnsi="Times New Roman" w:cs="Times New Roman"/>
        </w:rPr>
        <w:t>A validade da Ata de Registro de Preços será de 12 meses, a partir da homologação do certame não podendo ser prorrogada.</w:t>
      </w:r>
    </w:p>
    <w:p>
      <w:pPr>
        <w:widowControl w:val="0"/>
        <w:numPr>
          <w:ilvl w:val="0"/>
          <w:numId w:val="1"/>
        </w:numPr>
        <w:autoSpaceDE w:val="0"/>
        <w:autoSpaceDN w:val="0"/>
        <w:adjustRightInd w:val="0"/>
        <w:spacing w:before="240"/>
        <w:ind w:right="-30"/>
        <w:jc w:val="both"/>
        <w:rPr>
          <w:rFonts w:ascii="Times New Roman" w:hAnsi="Times New Roman" w:cs="Times New Roman"/>
          <w:iCs/>
        </w:rPr>
      </w:pPr>
      <w:r>
        <w:rPr>
          <w:rFonts w:ascii="Times New Roman" w:hAnsi="Times New Roman" w:cs="Times New Roman"/>
          <w:b/>
          <w:bCs/>
        </w:rPr>
        <w:t>REVISÃO E CANCELAMENTO</w:t>
      </w:r>
    </w:p>
    <w:p>
      <w:pPr>
        <w:pStyle w:val="13"/>
        <w:numPr>
          <w:ilvl w:val="1"/>
          <w:numId w:val="1"/>
        </w:numPr>
        <w:spacing w:before="120" w:after="120" w:line="276" w:lineRule="auto"/>
        <w:ind w:left="425" w:firstLine="0"/>
        <w:jc w:val="both"/>
        <w:rPr>
          <w:rFonts w:ascii="Times New Roman" w:hAnsi="Times New Roman" w:cs="Times New Roman"/>
        </w:rPr>
      </w:pPr>
      <w:r>
        <w:rPr>
          <w:rFonts w:ascii="Times New Roman" w:hAnsi="Times New Roman" w:cs="Times New Roman"/>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851" w:firstLine="0"/>
        <w:jc w:val="both"/>
        <w:rPr>
          <w:rFonts w:ascii="Times New Roman" w:hAnsi="Times New Roman" w:cs="Times New Roman"/>
        </w:rPr>
      </w:pPr>
      <w:r>
        <w:rPr>
          <w:rFonts w:ascii="Times New Roman" w:hAnsi="Times New Roman" w:cs="Times New Roman"/>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Pr>
          <w:rFonts w:ascii="Times New Roman" w:hAnsi="Times New Roman" w:cs="Times New Roman"/>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851" w:firstLine="0"/>
        <w:jc w:val="both"/>
        <w:rPr>
          <w:rFonts w:ascii="Times New Roman" w:hAnsi="Times New Roman" w:cs="Times New Roman"/>
        </w:rPr>
      </w:pPr>
      <w:r>
        <w:rPr>
          <w:rFonts w:ascii="Times New Roman" w:hAnsi="Times New Roman" w:cs="Times New Roman"/>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851" w:firstLine="0"/>
        <w:jc w:val="both"/>
        <w:rPr>
          <w:rFonts w:ascii="Times New Roman" w:hAnsi="Times New Roman" w:cs="Times New Roman"/>
        </w:rPr>
      </w:pPr>
      <w:r>
        <w:rPr>
          <w:rFonts w:ascii="Times New Roman" w:hAnsi="Times New Roman" w:cs="Times New Roman"/>
        </w:rPr>
        <w:t>convocar os demais fornecedores para assegurar igual oportunidade de negociação.</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rPr>
      </w:pPr>
      <w:r>
        <w:rPr>
          <w:rFonts w:ascii="Times New Roman" w:hAnsi="Times New Roman" w:cs="Times New Roman"/>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rPr>
      </w:pPr>
      <w:r>
        <w:rPr>
          <w:rFonts w:ascii="Times New Roman" w:hAnsi="Times New Roman" w:cs="Times New Roman"/>
        </w:rPr>
        <w:t>O registro do fornecedor será cancelado quando:</w:t>
      </w:r>
    </w:p>
    <w:p>
      <w:pPr>
        <w:numPr>
          <w:ilvl w:val="2"/>
          <w:numId w:val="1"/>
        </w:numPr>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descumprir as condições da ata de registro de preços;</w:t>
      </w:r>
    </w:p>
    <w:p>
      <w:pPr>
        <w:numPr>
          <w:ilvl w:val="2"/>
          <w:numId w:val="1"/>
        </w:numPr>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rPr>
      </w:pPr>
      <w:r>
        <w:rPr>
          <w:rFonts w:ascii="Times New Roman" w:hAnsi="Times New Roman" w:cs="Times New Roman"/>
        </w:rPr>
        <w:t>O cancelamento de registros nas hipóteses previstas nos itens 5.7.1, 5.7.2 e 5.7.4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rPr>
      </w:pPr>
      <w:r>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p>
    <w:p>
      <w:pPr>
        <w:numPr>
          <w:ilvl w:val="2"/>
          <w:numId w:val="1"/>
        </w:numPr>
        <w:tabs>
          <w:tab w:val="left" w:pos="1418"/>
        </w:tabs>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por razão de interesse público; ou</w:t>
      </w:r>
    </w:p>
    <w:p>
      <w:pPr>
        <w:numPr>
          <w:ilvl w:val="2"/>
          <w:numId w:val="1"/>
        </w:numPr>
        <w:tabs>
          <w:tab w:val="left" w:pos="1418"/>
        </w:tabs>
        <w:autoSpaceDE w:val="0"/>
        <w:autoSpaceDN w:val="0"/>
        <w:adjustRightInd w:val="0"/>
        <w:spacing w:before="120" w:after="120" w:line="276" w:lineRule="auto"/>
        <w:ind w:left="1418" w:firstLine="0"/>
        <w:jc w:val="both"/>
        <w:rPr>
          <w:rFonts w:ascii="Times New Roman" w:hAnsi="Times New Roman" w:cs="Times New Roman"/>
        </w:rPr>
      </w:pPr>
      <w:r>
        <w:rPr>
          <w:rFonts w:ascii="Times New Roman" w:hAnsi="Times New Roman" w:cs="Times New Roman"/>
        </w:rPr>
        <w:t>a pedido do fornecedor.</w:t>
      </w:r>
    </w:p>
    <w:p>
      <w:pPr>
        <w:pStyle w:val="20"/>
        <w:numPr>
          <w:ilvl w:val="0"/>
          <w:numId w:val="1"/>
        </w:numPr>
        <w:spacing w:before="240"/>
        <w:ind w:left="567" w:firstLine="0"/>
        <w:rPr>
          <w:rFonts w:ascii="Times New Roman" w:hAnsi="Times New Roman" w:cs="Times New Roman"/>
          <w:sz w:val="24"/>
          <w:szCs w:val="24"/>
        </w:rPr>
      </w:pPr>
      <w:r>
        <w:rPr>
          <w:rFonts w:ascii="Times New Roman" w:hAnsi="Times New Roman" w:cs="Times New Roman"/>
          <w:sz w:val="24"/>
          <w:szCs w:val="24"/>
        </w:rPr>
        <w:t>DAS PENALIDADES</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iCs/>
        </w:rPr>
      </w:pPr>
      <w:r>
        <w:rPr>
          <w:rFonts w:ascii="Times New Roman" w:hAnsi="Times New Roman" w:cs="Times New Roman"/>
          <w:iCs/>
        </w:rPr>
        <w:t>O descumprimento da Ata de Registro de Preços ensejará aplicação das penalidades estabelecidas no Edital.</w:t>
      </w:r>
    </w:p>
    <w:p>
      <w:pPr>
        <w:numPr>
          <w:ilvl w:val="2"/>
          <w:numId w:val="1"/>
        </w:numPr>
        <w:autoSpaceDE w:val="0"/>
        <w:autoSpaceDN w:val="0"/>
        <w:adjustRightInd w:val="0"/>
        <w:spacing w:before="120" w:after="120" w:line="276" w:lineRule="auto"/>
        <w:jc w:val="both"/>
        <w:rPr>
          <w:rFonts w:ascii="Times New Roman" w:hAnsi="Times New Roman" w:cs="Times New Roman"/>
          <w:iCs/>
        </w:rPr>
      </w:pPr>
      <w:r>
        <w:rPr>
          <w:rFonts w:ascii="Times New Roman" w:hAnsi="Times New Roman" w:cs="Times New Roman"/>
          <w:color w:val="000000"/>
        </w:rPr>
        <w:t>As sanções do item acima também se aplicam aos integrantes do cadastro de reserva, em pregão para registro de preços que, convocados, não honrarem o compromisso assumido injustificadamente, nos termos do art. 49, §1º do Decreto nº 10.024/19.</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iCs/>
        </w:rPr>
      </w:pPr>
      <w:r>
        <w:rPr>
          <w:rFonts w:ascii="Times New Roman" w:hAnsi="Times New Roman" w:cs="Times New Roman"/>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1"/>
        </w:numPr>
        <w:autoSpaceDE w:val="0"/>
        <w:autoSpaceDN w:val="0"/>
        <w:adjustRightInd w:val="0"/>
        <w:spacing w:before="120" w:after="120" w:line="276" w:lineRule="auto"/>
        <w:ind w:left="993" w:firstLine="0"/>
        <w:jc w:val="both"/>
        <w:rPr>
          <w:rFonts w:ascii="Times New Roman" w:hAnsi="Times New Roman" w:cs="Times New Roman"/>
          <w:iCs/>
        </w:rPr>
      </w:pPr>
      <w:r>
        <w:rPr>
          <w:rFonts w:ascii="Times New Roman" w:hAnsi="Times New Roman" w:cs="Times New Roman"/>
          <w:iCs/>
        </w:rPr>
        <w:t>O órgão participante deverá comunicar ao órgão gerenciador qualquer das ocorrências previstas no art. 20 do Decreto nº 7.892/2013, dada a necessidade de instauração de procedimento para cancelamento do registro do fornecedor.</w:t>
      </w:r>
    </w:p>
    <w:p>
      <w:pPr>
        <w:widowControl w:val="0"/>
        <w:autoSpaceDE w:val="0"/>
        <w:autoSpaceDN w:val="0"/>
        <w:adjustRightInd w:val="0"/>
        <w:ind w:left="360"/>
        <w:jc w:val="both"/>
        <w:rPr>
          <w:rFonts w:ascii="Times New Roman" w:hAnsi="Times New Roman" w:cs="Times New Roman"/>
          <w:b/>
          <w:iCs/>
        </w:rPr>
      </w:pPr>
    </w:p>
    <w:p>
      <w:pPr>
        <w:widowControl w:val="0"/>
        <w:numPr>
          <w:ilvl w:val="0"/>
          <w:numId w:val="1"/>
        </w:numPr>
        <w:autoSpaceDE w:val="0"/>
        <w:autoSpaceDN w:val="0"/>
        <w:adjustRightInd w:val="0"/>
        <w:ind w:left="567" w:firstLine="0"/>
        <w:jc w:val="both"/>
        <w:rPr>
          <w:rFonts w:ascii="Times New Roman" w:hAnsi="Times New Roman" w:cs="Times New Roman"/>
          <w:b/>
          <w:iCs/>
        </w:rPr>
      </w:pPr>
      <w:r>
        <w:rPr>
          <w:rFonts w:ascii="Times New Roman" w:hAnsi="Times New Roman" w:cs="Times New Roman"/>
          <w:b/>
          <w:bCs/>
          <w:iCs/>
        </w:rPr>
        <w:t>CONDIÇÕES GERAIS</w:t>
      </w:r>
    </w:p>
    <w:p>
      <w:pPr>
        <w:numPr>
          <w:ilvl w:val="1"/>
          <w:numId w:val="1"/>
        </w:numPr>
        <w:autoSpaceDE w:val="0"/>
        <w:autoSpaceDN w:val="0"/>
        <w:adjustRightInd w:val="0"/>
        <w:spacing w:before="120" w:after="120" w:line="276" w:lineRule="auto"/>
        <w:ind w:left="426" w:firstLine="0"/>
        <w:jc w:val="both"/>
        <w:rPr>
          <w:rFonts w:ascii="Times New Roman" w:hAnsi="Times New Roman" w:cs="Times New Roman"/>
          <w:iCs/>
        </w:rPr>
      </w:pPr>
      <w:r>
        <w:rPr>
          <w:rFonts w:ascii="Times New Roman" w:hAnsi="Times New Roman" w:cs="Times New Roman"/>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1"/>
        </w:numPr>
        <w:autoSpaceDE w:val="0"/>
        <w:autoSpaceDN w:val="0"/>
        <w:adjustRightInd w:val="0"/>
        <w:spacing w:before="120" w:after="120" w:line="276" w:lineRule="auto"/>
        <w:ind w:left="426" w:firstLine="0"/>
        <w:jc w:val="both"/>
        <w:rPr>
          <w:rFonts w:ascii="Times New Roman" w:hAnsi="Times New Roman" w:cs="Times New Roman"/>
        </w:rPr>
      </w:pPr>
      <w:r>
        <w:rPr>
          <w:rFonts w:ascii="Times New Roman" w:hAnsi="Times New Roman" w:cs="Times New Roman"/>
          <w:iCs/>
        </w:rPr>
        <w:t>É vedado efetuar acréscimos nos quantitativos fixados nesta ata de registro de preços, inclusive o acréscimo de que trata o § 1º do art</w:t>
      </w:r>
      <w:r>
        <w:rPr>
          <w:rFonts w:ascii="Times New Roman" w:hAnsi="Times New Roman" w:cs="Times New Roman"/>
        </w:rPr>
        <w:t>. 65 da Lei nº 8.666/93, nos termos do art. 12, §1º do Decreto nº 7892/13.</w:t>
      </w:r>
    </w:p>
    <w:p>
      <w:pPr>
        <w:numPr>
          <w:ilvl w:val="1"/>
          <w:numId w:val="1"/>
        </w:numPr>
        <w:autoSpaceDE w:val="0"/>
        <w:autoSpaceDN w:val="0"/>
        <w:adjustRightInd w:val="0"/>
        <w:spacing w:before="120" w:after="120" w:line="276" w:lineRule="auto"/>
        <w:ind w:left="426" w:firstLine="0"/>
        <w:jc w:val="both"/>
        <w:rPr>
          <w:rFonts w:ascii="Times New Roman" w:hAnsi="Times New Roman" w:cs="Times New Roman"/>
          <w:iCs/>
        </w:rPr>
      </w:pPr>
      <w:r>
        <w:rPr>
          <w:rFonts w:ascii="Times New Roman" w:hAnsi="Times New Roman" w:cs="Times New Roman"/>
          <w:iC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pPr>
        <w:widowControl w:val="0"/>
        <w:autoSpaceDE w:val="0"/>
        <w:autoSpaceDN w:val="0"/>
        <w:adjustRightInd w:val="0"/>
        <w:ind w:right="-15"/>
        <w:jc w:val="both"/>
        <w:rPr>
          <w:rFonts w:ascii="Times New Roman" w:hAnsi="Times New Roman" w:cs="Times New Roman"/>
        </w:rPr>
      </w:pPr>
    </w:p>
    <w:p>
      <w:pPr>
        <w:widowControl w:val="0"/>
        <w:autoSpaceDE w:val="0"/>
        <w:autoSpaceDN w:val="0"/>
        <w:adjustRightInd w:val="0"/>
        <w:ind w:right="-15"/>
        <w:jc w:val="both"/>
        <w:rPr>
          <w:rFonts w:ascii="Times New Roman" w:hAnsi="Times New Roman" w:cs="Times New Roman"/>
          <w:iCs/>
        </w:rPr>
      </w:pPr>
      <w:r>
        <w:rPr>
          <w:rFonts w:ascii="Times New Roman" w:hAnsi="Times New Roman" w:cs="Times New Roman"/>
        </w:rPr>
        <w:t xml:space="preserve">Para firmeza e validade do pactuado, a presente Ata foi lavrada em 02 (duas) vias de igual teor, que, depois de lida e achada em ordem, vai assinada pelas partes </w:t>
      </w:r>
      <w:r>
        <w:rPr>
          <w:rFonts w:ascii="Times New Roman" w:hAnsi="Times New Roman" w:cs="Times New Roman"/>
          <w:iCs/>
        </w:rPr>
        <w:t>e encaminhada cópia aos demais órgãos participantes.</w:t>
      </w:r>
    </w:p>
    <w:p>
      <w:pPr>
        <w:rPr>
          <w:rFonts w:ascii="Times New Roman" w:hAnsi="Times New Roman" w:cs="Times New Roman"/>
        </w:rPr>
      </w:pPr>
    </w:p>
    <w:p>
      <w:pPr>
        <w:jc w:val="center"/>
        <w:rPr>
          <w:rFonts w:ascii="Times New Roman" w:hAnsi="Times New Roman" w:cs="Times New Roman"/>
        </w:rPr>
      </w:pPr>
      <w:r>
        <w:rPr>
          <w:rFonts w:ascii="Times New Roman" w:hAnsi="Times New Roman" w:cs="Times New Roman"/>
        </w:rPr>
        <w:t>Santiago/RS, _____ de _________________ de 2020.</w:t>
      </w: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rPr>
          <w:rFonts w:ascii="Times New Roman" w:hAnsi="Times New Roman" w:cs="Times New Roman"/>
        </w:rPr>
      </w:pPr>
    </w:p>
    <w:p>
      <w:pPr>
        <w:spacing w:line="276" w:lineRule="auto"/>
        <w:jc w:val="center"/>
        <w:rPr>
          <w:rFonts w:ascii="Times New Roman" w:hAnsi="Times New Roman" w:cs="Times New Roman"/>
          <w:bCs/>
        </w:rPr>
      </w:pPr>
      <w:r>
        <w:rPr>
          <w:rFonts w:ascii="Times New Roman" w:hAnsi="Times New Roman" w:cs="Times New Roman"/>
          <w:bCs/>
        </w:rPr>
        <w:t>_________________________________</w:t>
      </w:r>
    </w:p>
    <w:p>
      <w:pPr>
        <w:spacing w:line="276" w:lineRule="auto"/>
        <w:jc w:val="center"/>
        <w:rPr>
          <w:rFonts w:ascii="Times New Roman" w:hAnsi="Times New Roman" w:cs="Times New Roman"/>
          <w:bCs/>
        </w:rPr>
      </w:pPr>
      <w:r>
        <w:rPr>
          <w:rFonts w:ascii="Times New Roman" w:hAnsi="Times New Roman" w:cs="Times New Roman"/>
          <w:bCs/>
        </w:rPr>
        <w:t xml:space="preserve">Ordenador de Despesas do 9º B Log </w:t>
      </w:r>
    </w:p>
    <w:p>
      <w:pPr>
        <w:spacing w:line="276" w:lineRule="auto"/>
        <w:jc w:val="center"/>
        <w:rPr>
          <w:rFonts w:ascii="Times New Roman" w:hAnsi="Times New Roman" w:cs="Times New Roman"/>
          <w:bCs/>
        </w:rPr>
      </w:pPr>
      <w:r>
        <w:rPr>
          <w:rFonts w:ascii="Times New Roman" w:hAnsi="Times New Roman" w:cs="Times New Roman"/>
          <w:bCs/>
        </w:rPr>
        <w:t xml:space="preserve">CPF: </w:t>
      </w:r>
    </w:p>
    <w:p>
      <w:pPr>
        <w:spacing w:line="276" w:lineRule="auto"/>
        <w:jc w:val="center"/>
        <w:rPr>
          <w:rFonts w:ascii="Times New Roman" w:hAnsi="Times New Roman" w:cs="Times New Roman"/>
          <w:b/>
          <w:bCs/>
        </w:rPr>
      </w:pPr>
    </w:p>
    <w:p>
      <w:pPr>
        <w:spacing w:line="276" w:lineRule="auto"/>
        <w:rPr>
          <w:rFonts w:ascii="Times New Roman" w:hAnsi="Times New Roman" w:cs="Times New Roman"/>
          <w:b/>
          <w:bCs/>
        </w:rPr>
      </w:pPr>
    </w:p>
    <w:p>
      <w:pPr>
        <w:spacing w:line="276" w:lineRule="auto"/>
        <w:jc w:val="center"/>
        <w:rPr>
          <w:rFonts w:ascii="Times New Roman" w:hAnsi="Times New Roman" w:cs="Times New Roman"/>
        </w:rPr>
      </w:pPr>
      <w:r>
        <w:rPr>
          <w:rFonts w:ascii="Times New Roman" w:hAnsi="Times New Roman" w:cs="Times New Roman"/>
        </w:rPr>
        <w:t>________________________________</w:t>
      </w:r>
    </w:p>
    <w:p>
      <w:pPr>
        <w:spacing w:line="276" w:lineRule="auto"/>
        <w:jc w:val="center"/>
        <w:rPr>
          <w:rFonts w:ascii="Times New Roman" w:hAnsi="Times New Roman" w:cs="Times New Roman"/>
        </w:rPr>
      </w:pPr>
      <w:r>
        <w:rPr>
          <w:rFonts w:ascii="Times New Roman" w:hAnsi="Times New Roman" w:cs="Times New Roman"/>
        </w:rPr>
        <w:t>Responsável legal da CONTRATADA</w:t>
      </w:r>
    </w:p>
    <w:p>
      <w:pPr>
        <w:spacing w:line="276" w:lineRule="auto"/>
        <w:jc w:val="center"/>
        <w:rPr>
          <w:rFonts w:ascii="Times New Roman" w:hAnsi="Times New Roman" w:cs="Times New Roman"/>
        </w:rPr>
      </w:pPr>
      <w:r>
        <w:rPr>
          <w:rFonts w:ascii="Times New Roman" w:hAnsi="Times New Roman" w:cs="Times New Roman"/>
        </w:rPr>
        <w:t>CPF:</w:t>
      </w:r>
    </w:p>
    <w:p>
      <w:pPr>
        <w:spacing w:line="276" w:lineRule="auto"/>
        <w:jc w:val="both"/>
        <w:rPr>
          <w:rFonts w:ascii="Times New Roman" w:hAnsi="Times New Roman" w:cs="Times New Roman"/>
        </w:rPr>
      </w:pPr>
      <w:r>
        <w:rPr>
          <w:rFonts w:ascii="Times New Roman" w:hAnsi="Times New Roman" w:cs="Times New Roman"/>
        </w:rPr>
        <w:t>TESTEMUNHAS:</w:t>
      </w:r>
    </w:p>
    <w:p>
      <w:pPr>
        <w:spacing w:line="276" w:lineRule="auto"/>
        <w:jc w:val="both"/>
        <w:rPr>
          <w:rFonts w:ascii="Times New Roman" w:hAnsi="Times New Roman" w:cs="Times New Roman"/>
        </w:rPr>
      </w:pPr>
    </w:p>
    <w:p>
      <w:pPr>
        <w:spacing w:line="276" w:lineRule="auto"/>
        <w:jc w:val="both"/>
        <w:rPr>
          <w:rFonts w:ascii="Times New Roman" w:hAnsi="Times New Roman" w:cs="Times New Roman"/>
        </w:rPr>
      </w:pPr>
    </w:p>
    <w:p>
      <w:pPr>
        <w:spacing w:line="276" w:lineRule="auto"/>
        <w:jc w:val="center"/>
        <w:rPr>
          <w:rFonts w:ascii="Times New Roman" w:hAnsi="Times New Roman" w:cs="Times New Roman"/>
        </w:rPr>
      </w:pPr>
      <w:r>
        <w:rPr>
          <w:rFonts w:ascii="Times New Roman" w:hAnsi="Times New Roman" w:cs="Times New Roman"/>
        </w:rPr>
        <w:t>____________________________                                       ____________________________</w:t>
      </w:r>
    </w:p>
    <w:p>
      <w:pPr>
        <w:spacing w:line="276" w:lineRule="auto"/>
        <w:rPr>
          <w:rFonts w:ascii="Times New Roman" w:hAnsi="Times New Roman" w:cs="Times New Roman"/>
        </w:rPr>
      </w:pPr>
      <w:r>
        <w:rPr>
          <w:rFonts w:ascii="Times New Roman" w:hAnsi="Times New Roman" w:cs="Times New Roman"/>
        </w:rPr>
        <w:t>Testemunha da CONTRATADA                                           Testemunha da CONTRATANTE</w:t>
      </w:r>
    </w:p>
    <w:p>
      <w:pPr>
        <w:spacing w:line="276" w:lineRule="auto"/>
        <w:rPr>
          <w:rFonts w:ascii="Times New Roman" w:hAnsi="Times New Roman" w:cs="Times New Roman"/>
        </w:rPr>
      </w:pPr>
      <w:r>
        <w:rPr>
          <w:rFonts w:ascii="Times New Roman" w:hAnsi="Times New Roman" w:cs="Times New Roman"/>
        </w:rPr>
        <w:t xml:space="preserve">                   CPF:                                                                                              CPF: </w:t>
      </w:r>
    </w:p>
    <w:sectPr>
      <w:headerReference r:id="rId3" w:type="default"/>
      <w:footerReference r:id="rId4" w:type="default"/>
      <w:pgSz w:w="11906" w:h="16838"/>
      <w:pgMar w:top="1418" w:right="707"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0000000000000000000"/>
    <w:charset w:val="86"/>
    <w:family w:val="auto"/>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SimSun">
    <w:altName w:val="Droid Sans Fallback"/>
    <w:panose1 w:val="02010600030101010101"/>
    <w:charset w:val="86"/>
    <w:family w:val="auto"/>
    <w:pitch w:val="default"/>
    <w:sig w:usb0="00000003" w:usb1="288F0000" w:usb2="00000006" w:usb3="00000000" w:csb0="00040001" w:csb1="00000000"/>
  </w:font>
  <w:font w:name="Arial">
    <w:altName w:val="DejaVu Sans"/>
    <w:panose1 w:val="020B0604020202020204"/>
    <w:charset w:val="00"/>
    <w:family w:val="swiss"/>
    <w:pitch w:val="default"/>
    <w:sig w:usb0="E0002AFF" w:usb1="C0007843" w:usb2="00000009" w:usb3="00000000" w:csb0="400001FF" w:csb1="FFFF0000"/>
  </w:font>
  <w:font w:name="Courier New">
    <w:altName w:val="DejaVu Sans"/>
    <w:panose1 w:val="02070309020205020404"/>
    <w:charset w:val="00"/>
    <w:family w:val="modern"/>
    <w:pitch w:val="default"/>
    <w:sig w:usb0="E0002AFF" w:usb1="C0007843" w:usb2="00000009" w:usb3="00000000" w:csb0="400001FF" w:csb1="FFFF0000"/>
  </w:font>
  <w:font w:name="Symbol">
    <w:panose1 w:val="05050102010706020507"/>
    <w:charset w:val="00"/>
    <w:family w:val="roman"/>
    <w:pitch w:val="default"/>
    <w:sig w:usb0="00000000" w:usb1="00000000" w:usb2="00000000" w:usb3="00000000" w:csb0="80000000" w:csb1="00000000"/>
  </w:font>
  <w:font w:name="SimHei">
    <w:altName w:val="Droid Sans Fallback"/>
    <w:panose1 w:val="02010609060101010101"/>
    <w:charset w:val="00"/>
    <w:family w:val="modern"/>
    <w:pitch w:val="default"/>
    <w:sig w:usb0="800002BF" w:usb1="38CF7CFA" w:usb2="00000016" w:usb3="00000000" w:csb0="00040001" w:csb1="00000000"/>
  </w:font>
  <w:font w:name="Calibri">
    <w:altName w:val="Microsoft Sans Serif"/>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Ecofont_Spranq_eco_Sans">
    <w:altName w:val="Gubbi"/>
    <w:panose1 w:val="00000000000000000000"/>
    <w:charset w:val="00"/>
    <w:family w:val="swiss"/>
    <w:pitch w:val="default"/>
    <w:sig w:usb0="00000000" w:usb1="00000000" w:usb2="00000000" w:usb3="00000000" w:csb0="00000001" w:csb1="00000000"/>
  </w:font>
  <w:font w:name="Tahoma">
    <w:altName w:val="Ubuntu"/>
    <w:panose1 w:val="020B0604030504040204"/>
    <w:charset w:val="00"/>
    <w:family w:val="swiss"/>
    <w:pitch w:val="default"/>
    <w:sig w:usb0="00000000" w:usb1="00000000" w:usb2="00000029" w:usb3="00000000" w:csb0="000101FF" w:csb1="00000000"/>
  </w:font>
  <w:font w:name="Cambria">
    <w:altName w:val="FreeSerif"/>
    <w:panose1 w:val="02040503050406030204"/>
    <w:charset w:val="00"/>
    <w:family w:val="roman"/>
    <w:pitch w:val="default"/>
    <w:sig w:usb0="00000000" w:usb1="00000000" w:usb2="02000000" w:usb3="00000000" w:csb0="0000019F" w:csb1="00000000"/>
  </w:font>
  <w:font w:name="DejaVu Sans">
    <w:panose1 w:val="020B0603030804020204"/>
    <w:charset w:val="00"/>
    <w:family w:val="auto"/>
    <w:pitch w:val="default"/>
    <w:sig w:usb0="E7006EFF" w:usb1="D200FDFF" w:usb2="0A246029" w:usb3="0400200C" w:csb0="600001FF" w:csb1="DFFF0000"/>
  </w:font>
  <w:font w:name="Gubbi">
    <w:panose1 w:val="00000400000000000000"/>
    <w:charset w:val="00"/>
    <w:family w:val="auto"/>
    <w:pitch w:val="default"/>
    <w:sig w:usb0="00400000" w:usb1="00000000" w:usb2="00000000" w:usb3="00000000" w:csb0="00000000" w:csb1="00000000"/>
  </w:font>
  <w:font w:name="aakar">
    <w:panose1 w:val="02000600040000000000"/>
    <w:charset w:val="00"/>
    <w:family w:val="auto"/>
    <w:pitch w:val="default"/>
    <w:sig w:usb0="80040001" w:usb1="00002000" w:usb2="00000000" w:usb3="00000000" w:csb0="20000000" w:csb1="8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cs="Times New Roman"/>
      </w:rPr>
    </w:pPr>
    <w:r>
      <w:rPr>
        <w:rFonts w:ascii="Times New Roman" w:hAnsi="Times New Roman" w:cs="Times New Roman"/>
      </w:rPr>
      <w:t>____________________________________________________________________</w:t>
    </w:r>
  </w:p>
  <w:p>
    <w:pPr>
      <w:pStyle w:val="8"/>
      <w:rPr>
        <w:rFonts w:ascii="Arial" w:hAnsi="Arial" w:cs="Arial"/>
        <w:sz w:val="12"/>
        <w:szCs w:val="12"/>
      </w:rPr>
    </w:pPr>
    <w:r>
      <w:rPr>
        <w:rFonts w:ascii="Arial" w:hAnsi="Arial" w:cs="Arial"/>
        <w:sz w:val="12"/>
        <w:szCs w:val="12"/>
      </w:rPr>
      <w:t>Câmara Nacional de Modelos de Licitações e Contratos da Consultoria-Geral da União</w:t>
    </w:r>
  </w:p>
  <w:p>
    <w:pPr>
      <w:pStyle w:val="8"/>
      <w:rPr>
        <w:rFonts w:ascii="Arial" w:hAnsi="Arial" w:cs="Arial"/>
        <w:sz w:val="12"/>
        <w:szCs w:val="12"/>
      </w:rPr>
    </w:pPr>
    <w:r>
      <w:rPr>
        <w:rFonts w:ascii="Arial" w:hAnsi="Arial" w:cs="Arial"/>
        <w:sz w:val="12"/>
        <w:szCs w:val="12"/>
      </w:rPr>
      <w:t xml:space="preserve">Ata de Registro de Preços – modelo – pregão compras </w:t>
    </w:r>
  </w:p>
  <w:p>
    <w:pPr>
      <w:pStyle w:val="8"/>
      <w:rPr>
        <w:rFonts w:ascii="Arial" w:hAnsi="Arial" w:cs="Arial"/>
      </w:rPr>
    </w:pPr>
    <w:r>
      <w:rPr>
        <w:rFonts w:ascii="Arial" w:hAnsi="Arial" w:cs="Arial"/>
        <w:sz w:val="12"/>
        <w:szCs w:val="12"/>
      </w:rPr>
      <w:t>Atualização:  Dezembro/2019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inline distT="0" distB="0" distL="0" distR="0">
          <wp:extent cx="1043305" cy="895350"/>
          <wp:effectExtent l="0" t="0" r="4445" b="0"/>
          <wp:docPr id="26" name="Imagem 1" descr="Descrição: E:\S.A.L.C\Pregão 2014\simbolo 9º B Log.png"/>
          <wp:cNvGraphicFramePr/>
          <a:graphic xmlns:a="http://schemas.openxmlformats.org/drawingml/2006/main">
            <a:graphicData uri="http://schemas.openxmlformats.org/drawingml/2006/picture">
              <pic:pic xmlns:pic="http://schemas.openxmlformats.org/drawingml/2006/picture">
                <pic:nvPicPr>
                  <pic:cNvPr id="26" name="Imagem 1" descr="Descrição: E:\S.A.L.C\Pregão 2014\simbolo 9º B Log.png"/>
                  <pic:cNvPicPr/>
                </pic:nvPicPr>
                <pic:blipFill>
                  <a:blip r:embed="rId1">
                    <a:extLst>
                      <a:ext uri="{28A0092B-C50C-407E-A947-70E740481C1C}">
                        <a14:useLocalDpi xmlns:a14="http://schemas.microsoft.com/office/drawing/2010/main" val="0"/>
                      </a:ext>
                    </a:extLst>
                  </a:blip>
                  <a:srcRect/>
                  <a:stretch>
                    <a:fillRect/>
                  </a:stretch>
                </pic:blipFill>
                <pic:spPr>
                  <a:xfrm>
                    <a:off x="0" y="0"/>
                    <a:ext cx="1043305" cy="8953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lvlText w:val="%1."/>
      <w:lvlJc w:val="left"/>
      <w:pPr>
        <w:ind w:left="360" w:hanging="360"/>
      </w:pPr>
      <w:rPr>
        <w:b/>
        <w:color w:val="auto"/>
      </w:rPr>
    </w:lvl>
    <w:lvl w:ilvl="1" w:tentative="0">
      <w:start w:val="1"/>
      <w:numFmt w:val="decimal"/>
      <w:lvlText w:val="%1.%2."/>
      <w:lvlJc w:val="left"/>
      <w:pPr>
        <w:ind w:left="1283" w:hanging="432"/>
      </w:pPr>
      <w:rPr>
        <w:sz w:val="24"/>
        <w:szCs w:val="20"/>
      </w:rPr>
    </w:lvl>
    <w:lvl w:ilvl="2" w:tentative="0">
      <w:start w:val="1"/>
      <w:numFmt w:val="decimal"/>
      <w:lvlText w:val="%1.%2.%3."/>
      <w:lvlJc w:val="left"/>
      <w:pPr>
        <w:ind w:left="1497"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72789"/>
    <w:rsid w:val="000B7011"/>
    <w:rsid w:val="000C62A3"/>
    <w:rsid w:val="000E55D0"/>
    <w:rsid w:val="000F3685"/>
    <w:rsid w:val="00113AE6"/>
    <w:rsid w:val="00120924"/>
    <w:rsid w:val="00122461"/>
    <w:rsid w:val="001256C2"/>
    <w:rsid w:val="00133E35"/>
    <w:rsid w:val="0014613C"/>
    <w:rsid w:val="0015272E"/>
    <w:rsid w:val="001770D2"/>
    <w:rsid w:val="001E0D7C"/>
    <w:rsid w:val="001E5641"/>
    <w:rsid w:val="002038C8"/>
    <w:rsid w:val="00210AA6"/>
    <w:rsid w:val="002B3D1E"/>
    <w:rsid w:val="002B49C5"/>
    <w:rsid w:val="002F4C05"/>
    <w:rsid w:val="00315FF7"/>
    <w:rsid w:val="00327A25"/>
    <w:rsid w:val="003A7990"/>
    <w:rsid w:val="003C3804"/>
    <w:rsid w:val="003C4966"/>
    <w:rsid w:val="003C49EC"/>
    <w:rsid w:val="003F48DF"/>
    <w:rsid w:val="0042684A"/>
    <w:rsid w:val="00451D65"/>
    <w:rsid w:val="00454D50"/>
    <w:rsid w:val="004811E3"/>
    <w:rsid w:val="004A1D37"/>
    <w:rsid w:val="004A35B7"/>
    <w:rsid w:val="004A5577"/>
    <w:rsid w:val="004C14E4"/>
    <w:rsid w:val="00501777"/>
    <w:rsid w:val="00501D89"/>
    <w:rsid w:val="00520E7A"/>
    <w:rsid w:val="00562578"/>
    <w:rsid w:val="005A6E38"/>
    <w:rsid w:val="005B4BE1"/>
    <w:rsid w:val="005F295F"/>
    <w:rsid w:val="00631E43"/>
    <w:rsid w:val="006362AE"/>
    <w:rsid w:val="00646738"/>
    <w:rsid w:val="006468EA"/>
    <w:rsid w:val="00673105"/>
    <w:rsid w:val="00673893"/>
    <w:rsid w:val="0068120E"/>
    <w:rsid w:val="006858BA"/>
    <w:rsid w:val="006A5244"/>
    <w:rsid w:val="0071081A"/>
    <w:rsid w:val="007B3995"/>
    <w:rsid w:val="007D4B25"/>
    <w:rsid w:val="00802289"/>
    <w:rsid w:val="00825FDD"/>
    <w:rsid w:val="00833C36"/>
    <w:rsid w:val="00866CC7"/>
    <w:rsid w:val="00882690"/>
    <w:rsid w:val="00893D82"/>
    <w:rsid w:val="008E6B52"/>
    <w:rsid w:val="009E0C3C"/>
    <w:rsid w:val="00A1191B"/>
    <w:rsid w:val="00A43047"/>
    <w:rsid w:val="00A84930"/>
    <w:rsid w:val="00A95AB9"/>
    <w:rsid w:val="00AA1D45"/>
    <w:rsid w:val="00AB0846"/>
    <w:rsid w:val="00AF07E0"/>
    <w:rsid w:val="00B05AF8"/>
    <w:rsid w:val="00B10156"/>
    <w:rsid w:val="00B438A7"/>
    <w:rsid w:val="00B86157"/>
    <w:rsid w:val="00B92BCC"/>
    <w:rsid w:val="00BB5309"/>
    <w:rsid w:val="00BB7895"/>
    <w:rsid w:val="00C159F6"/>
    <w:rsid w:val="00C5111B"/>
    <w:rsid w:val="00C7693F"/>
    <w:rsid w:val="00C97B29"/>
    <w:rsid w:val="00CB46FC"/>
    <w:rsid w:val="00CC6EE8"/>
    <w:rsid w:val="00D50B23"/>
    <w:rsid w:val="00D63A70"/>
    <w:rsid w:val="00D66100"/>
    <w:rsid w:val="00D85ACD"/>
    <w:rsid w:val="00E11D1B"/>
    <w:rsid w:val="00E11D5F"/>
    <w:rsid w:val="00E60AC2"/>
    <w:rsid w:val="00EA7832"/>
    <w:rsid w:val="00EF3535"/>
    <w:rsid w:val="00F0641D"/>
    <w:rsid w:val="00F1049F"/>
    <w:rsid w:val="00F17655"/>
    <w:rsid w:val="00F77F32"/>
    <w:rsid w:val="00F86C25"/>
    <w:rsid w:val="00F95F17"/>
    <w:rsid w:val="00FD7CFF"/>
    <w:rsid w:val="75F2B0E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5">
    <w:name w:val="Hyperlink"/>
    <w:unhideWhenUsed/>
    <w:qFormat/>
    <w:uiPriority w:val="99"/>
    <w:rPr>
      <w:color w:val="0000FF"/>
      <w:u w:val="single"/>
    </w:rPr>
  </w:style>
  <w:style w:type="paragraph" w:styleId="6">
    <w:name w:val="Body Text"/>
    <w:basedOn w:val="1"/>
    <w:link w:val="12"/>
    <w:unhideWhenUsed/>
    <w:qFormat/>
    <w:uiPriority w:val="99"/>
    <w:pPr>
      <w:spacing w:before="100" w:beforeAutospacing="1" w:after="100" w:afterAutospacing="1"/>
    </w:pPr>
    <w:rPr>
      <w:rFonts w:ascii="Times New Roman" w:hAnsi="Times New Roman" w:cs="Times New Roman"/>
    </w:rPr>
  </w:style>
  <w:style w:type="paragraph" w:styleId="7">
    <w:name w:val="header"/>
    <w:basedOn w:val="1"/>
    <w:link w:val="14"/>
    <w:unhideWhenUsed/>
    <w:qFormat/>
    <w:uiPriority w:val="99"/>
    <w:pPr>
      <w:tabs>
        <w:tab w:val="center" w:pos="4252"/>
        <w:tab w:val="right" w:pos="8504"/>
      </w:tabs>
    </w:pPr>
  </w:style>
  <w:style w:type="paragraph" w:styleId="8">
    <w:name w:val="footer"/>
    <w:basedOn w:val="1"/>
    <w:link w:val="15"/>
    <w:unhideWhenUsed/>
    <w:qFormat/>
    <w:uiPriority w:val="0"/>
    <w:pPr>
      <w:tabs>
        <w:tab w:val="center" w:pos="4252"/>
        <w:tab w:val="right" w:pos="8504"/>
      </w:tabs>
    </w:pPr>
  </w:style>
  <w:style w:type="paragraph" w:styleId="9">
    <w:name w:val="Balloon Text"/>
    <w:basedOn w:val="1"/>
    <w:link w:val="23"/>
    <w:semiHidden/>
    <w:unhideWhenUsed/>
    <w:qFormat/>
    <w:uiPriority w:val="0"/>
    <w:rPr>
      <w:rFonts w:ascii="Tahoma" w:hAnsi="Tahoma"/>
      <w:sz w:val="16"/>
      <w:szCs w:val="16"/>
    </w:rPr>
  </w:style>
  <w:style w:type="paragraph" w:customStyle="1" w:styleId="10">
    <w:name w:val="Grade Colorida - Ênfase 11"/>
    <w:basedOn w:val="1"/>
    <w:next w:val="1"/>
    <w:link w:val="1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1">
    <w:name w:val="Grade Colorida - Ênfase 1 Char"/>
    <w:link w:val="10"/>
    <w:qFormat/>
    <w:uiPriority w:val="0"/>
    <w:rPr>
      <w:rFonts w:ascii="Ecofont_Spranq_eco_Sans" w:hAnsi="Ecofont_Spranq_eco_Sans" w:eastAsia="Calibri" w:cs="Tahoma"/>
      <w:i/>
      <w:iCs/>
      <w:color w:val="000000"/>
      <w:szCs w:val="24"/>
      <w:lang w:val="pt-BR" w:eastAsia="en-US" w:bidi="ar-SA"/>
    </w:rPr>
  </w:style>
  <w:style w:type="character" w:customStyle="1" w:styleId="12">
    <w:name w:val="Corpo de texto Char"/>
    <w:link w:val="6"/>
    <w:qFormat/>
    <w:uiPriority w:val="99"/>
    <w:rPr>
      <w:sz w:val="24"/>
      <w:szCs w:val="24"/>
    </w:rPr>
  </w:style>
  <w:style w:type="paragraph" w:styleId="13">
    <w:name w:val="List Paragraph"/>
    <w:basedOn w:val="1"/>
    <w:qFormat/>
    <w:uiPriority w:val="34"/>
    <w:pPr>
      <w:ind w:left="720"/>
      <w:contextualSpacing/>
    </w:pPr>
  </w:style>
  <w:style w:type="character" w:customStyle="1" w:styleId="14">
    <w:name w:val="Cabeçalho Char"/>
    <w:basedOn w:val="3"/>
    <w:link w:val="7"/>
    <w:qFormat/>
    <w:uiPriority w:val="99"/>
    <w:rPr>
      <w:rFonts w:ascii="Ecofont_Spranq_eco_Sans" w:hAnsi="Ecofont_Spranq_eco_Sans" w:cs="Tahoma"/>
      <w:sz w:val="24"/>
      <w:szCs w:val="24"/>
    </w:rPr>
  </w:style>
  <w:style w:type="character" w:customStyle="1" w:styleId="15">
    <w:name w:val="Rodapé Char"/>
    <w:basedOn w:val="3"/>
    <w:link w:val="8"/>
    <w:qFormat/>
    <w:uiPriority w:val="0"/>
    <w:rPr>
      <w:rFonts w:ascii="Ecofont_Spranq_eco_Sans" w:hAnsi="Ecofont_Spranq_eco_Sans" w:cs="Tahoma"/>
      <w:sz w:val="24"/>
      <w:szCs w:val="24"/>
    </w:rPr>
  </w:style>
  <w:style w:type="paragraph" w:customStyle="1" w:styleId="16">
    <w:name w:val="citação 2"/>
    <w:basedOn w:val="17"/>
    <w:link w:val="1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17">
    <w:name w:val="Quote"/>
    <w:basedOn w:val="1"/>
    <w:next w:val="1"/>
    <w:link w:val="19"/>
    <w:qFormat/>
    <w:uiPriority w:val="29"/>
    <w:rPr>
      <w:i/>
      <w:iCs/>
      <w:color w:val="000000" w:themeColor="text1"/>
      <w14:textFill>
        <w14:solidFill>
          <w14:schemeClr w14:val="tx1"/>
        </w14:solidFill>
      </w14:textFill>
    </w:rPr>
  </w:style>
  <w:style w:type="character" w:customStyle="1" w:styleId="18">
    <w:name w:val="citação 2 Char"/>
    <w:basedOn w:val="19"/>
    <w:link w:val="16"/>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19">
    <w:name w:val="Citação Char"/>
    <w:basedOn w:val="3"/>
    <w:link w:val="17"/>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0">
    <w:name w:val="Nivel1"/>
    <w:basedOn w:val="2"/>
    <w:next w:val="1"/>
    <w:link w:val="22"/>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1">
    <w:name w:val="Título 1 Char"/>
    <w:basedOn w:val="3"/>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2">
    <w:name w:val="Nivel1 Char"/>
    <w:basedOn w:val="21"/>
    <w:link w:val="20"/>
    <w:qFormat/>
    <w:uiPriority w:val="0"/>
    <w:rPr>
      <w:rFonts w:ascii="Arial" w:hAnsi="Arial" w:cs="Arial" w:eastAsiaTheme="majorEastAsia"/>
      <w:color w:val="376092" w:themeColor="accent1" w:themeShade="BF"/>
      <w:sz w:val="28"/>
      <w:szCs w:val="28"/>
    </w:rPr>
  </w:style>
  <w:style w:type="character" w:customStyle="1" w:styleId="23">
    <w:name w:val="Texto de balão Char"/>
    <w:basedOn w:val="3"/>
    <w:link w:val="9"/>
    <w:semiHidden/>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5</Pages>
  <Words>1535</Words>
  <Characters>8680</Characters>
  <Lines>72</Lines>
  <Paragraphs>20</Paragraphs>
  <TotalTime>70</TotalTime>
  <ScaleCrop>false</ScaleCrop>
  <LinksUpToDate>false</LinksUpToDate>
  <CharactersWithSpaces>10195</CharactersWithSpaces>
  <Application>WPS Office_11.1.0.9080_F1E327BC-269C-435d-A152-05C5408002CA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2019-07-22T14:27:00Z</dcterms:created>
  <dc:creator>CONJUR-MP</dc:creator>
  <dc:description>Texto idêntico ao modelo de serviços, salvo pela especificação do objeto contratado e da respectiva nota explicativa.</dc:description>
  <cp:lastModifiedBy>salcaux4</cp:lastModifiedBy>
  <cp:lastPrinted>2019-11-04T13:57:00Z</cp:lastPrinted>
  <dcterms:modified xsi:type="dcterms:W3CDTF">2020-03-30T08:46:52Z</dcterms:modified>
  <dc:title>MODELO</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y fmtid="{D5CDD505-2E9C-101B-9397-08002B2CF9AE}" pid="4" name="KSOProductBuildVer">
    <vt:lpwstr>1046-11.1.0.9080</vt:lpwstr>
  </property>
</Properties>
</file>